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885" w:rsidRPr="005A2F2D" w:rsidRDefault="00EA3885" w:rsidP="00EA3885">
      <w:pPr>
        <w:ind w:right="-993"/>
        <w:rPr>
          <w:rFonts w:ascii="Verdana" w:hAnsi="Verdana"/>
          <w:b/>
          <w:sz w:val="20"/>
          <w:szCs w:val="20"/>
        </w:rPr>
      </w:pPr>
      <w:r w:rsidRPr="005A2F2D">
        <w:rPr>
          <w:rFonts w:ascii="Verdana" w:hAnsi="Verdana"/>
          <w:b/>
          <w:sz w:val="20"/>
          <w:szCs w:val="20"/>
        </w:rPr>
        <w:t>Consulting</w:t>
      </w:r>
    </w:p>
    <w:p w:rsidR="00EA3885" w:rsidRDefault="00EA3885" w:rsidP="00EA3885">
      <w:pPr>
        <w:ind w:right="-993"/>
        <w:rPr>
          <w:rFonts w:ascii="Verdana" w:hAnsi="Verdana"/>
          <w:sz w:val="20"/>
          <w:szCs w:val="20"/>
        </w:rPr>
      </w:pPr>
      <w:r w:rsidRPr="005A2F2D">
        <w:rPr>
          <w:rFonts w:ascii="Verdana" w:hAnsi="Verdana"/>
          <w:sz w:val="20"/>
          <w:szCs w:val="20"/>
        </w:rPr>
        <w:t>Wir entwickeln auf der Basis einer detaillierten Analyse gemeinsam mit Ihnen die individuellen Lösungs</w:t>
      </w:r>
      <w:r>
        <w:rPr>
          <w:rFonts w:ascii="Verdana" w:hAnsi="Verdana"/>
          <w:sz w:val="20"/>
          <w:szCs w:val="20"/>
        </w:rPr>
        <w:t>strategien für Ihr Unternehmen.</w:t>
      </w:r>
    </w:p>
    <w:p w:rsidR="00EA3885" w:rsidRDefault="00EA3885" w:rsidP="00EA3885">
      <w:pPr>
        <w:ind w:right="-993"/>
        <w:rPr>
          <w:rFonts w:ascii="Verdana" w:hAnsi="Verdana"/>
          <w:sz w:val="20"/>
          <w:szCs w:val="20"/>
        </w:rPr>
      </w:pPr>
      <w:r w:rsidRPr="005A2F2D">
        <w:rPr>
          <w:rFonts w:ascii="Verdana" w:hAnsi="Verdana"/>
          <w:sz w:val="20"/>
          <w:szCs w:val="20"/>
        </w:rPr>
        <w:t>Die daraus resultierenden konkreten Maßnah</w:t>
      </w:r>
      <w:r>
        <w:rPr>
          <w:rFonts w:ascii="Verdana" w:hAnsi="Verdana"/>
          <w:sz w:val="20"/>
          <w:szCs w:val="20"/>
        </w:rPr>
        <w:t xml:space="preserve">men zur Erreichung Ihrer Ziele </w:t>
      </w:r>
      <w:r w:rsidRPr="005A2F2D">
        <w:rPr>
          <w:rFonts w:ascii="Verdana" w:hAnsi="Verdana"/>
          <w:sz w:val="20"/>
          <w:szCs w:val="20"/>
        </w:rPr>
        <w:t xml:space="preserve">etablieren wir in enger Abstimmung - durch ein permanentes Monitoring begleitend - messbar, effizient und </w:t>
      </w:r>
      <w:r>
        <w:rPr>
          <w:rFonts w:ascii="Verdana" w:hAnsi="Verdana"/>
          <w:sz w:val="20"/>
          <w:szCs w:val="20"/>
        </w:rPr>
        <w:t>dauerhaft in Ihrem Unternehmen.</w:t>
      </w:r>
    </w:p>
    <w:p w:rsidR="00EA3885" w:rsidRDefault="00EA3885" w:rsidP="00EA3885">
      <w:pPr>
        <w:ind w:right="-993"/>
        <w:rPr>
          <w:rFonts w:ascii="Verdana" w:hAnsi="Verdana"/>
          <w:sz w:val="20"/>
          <w:szCs w:val="20"/>
        </w:rPr>
      </w:pPr>
      <w:r w:rsidRPr="005A2F2D">
        <w:rPr>
          <w:rFonts w:ascii="Verdana" w:hAnsi="Verdana"/>
          <w:sz w:val="20"/>
          <w:szCs w:val="20"/>
        </w:rPr>
        <w:t xml:space="preserve">MyConAP beherrscht aus langjähriger praktischer Erfahrung alle Themen, die für die </w:t>
      </w:r>
      <w:bookmarkStart w:id="0" w:name="_GoBack"/>
      <w:bookmarkEnd w:id="0"/>
      <w:r w:rsidRPr="005A2F2D">
        <w:rPr>
          <w:rFonts w:ascii="Verdana" w:hAnsi="Verdana"/>
          <w:sz w:val="20"/>
          <w:szCs w:val="20"/>
        </w:rPr>
        <w:t>Effizi</w:t>
      </w:r>
      <w:r>
        <w:rPr>
          <w:rFonts w:ascii="Verdana" w:hAnsi="Verdana"/>
          <w:sz w:val="20"/>
          <w:szCs w:val="20"/>
        </w:rPr>
        <w:t>enzsteigerungen, relevant sind:</w:t>
      </w:r>
    </w:p>
    <w:p w:rsidR="00EA3885" w:rsidRPr="00EA3885" w:rsidRDefault="00EA3885" w:rsidP="00EA3885">
      <w:pPr>
        <w:ind w:right="-993"/>
        <w:rPr>
          <w:rFonts w:ascii="Verdana" w:hAnsi="Verdana"/>
          <w:b/>
          <w:sz w:val="20"/>
          <w:szCs w:val="20"/>
        </w:rPr>
      </w:pPr>
    </w:p>
    <w:tbl>
      <w:tblPr>
        <w:tblStyle w:val="Tabellenraster"/>
        <w:tblW w:w="10183" w:type="dxa"/>
        <w:tblInd w:w="-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63"/>
      </w:tblGrid>
      <w:tr w:rsidR="00EA3885" w:rsidRPr="00EA3885" w:rsidTr="00EA3885">
        <w:trPr>
          <w:trHeight w:val="251"/>
        </w:trPr>
        <w:tc>
          <w:tcPr>
            <w:tcW w:w="4820" w:type="dxa"/>
          </w:tcPr>
          <w:p w:rsidR="00EA3885" w:rsidRPr="00EA3885" w:rsidRDefault="00EA3885" w:rsidP="00EA3885">
            <w:pPr>
              <w:pStyle w:val="Listenabsatz"/>
              <w:numPr>
                <w:ilvl w:val="0"/>
                <w:numId w:val="1"/>
              </w:numPr>
              <w:ind w:right="-993"/>
              <w:rPr>
                <w:rFonts w:ascii="Verdana" w:hAnsi="Verdana"/>
                <w:b/>
                <w:sz w:val="20"/>
                <w:szCs w:val="20"/>
              </w:rPr>
            </w:pPr>
            <w:r w:rsidRPr="00EA3885">
              <w:rPr>
                <w:rFonts w:ascii="Verdana" w:hAnsi="Verdana"/>
                <w:b/>
                <w:sz w:val="20"/>
                <w:szCs w:val="20"/>
              </w:rPr>
              <w:t>Marktanalysen</w:t>
            </w:r>
          </w:p>
        </w:tc>
        <w:tc>
          <w:tcPr>
            <w:tcW w:w="5363" w:type="dxa"/>
          </w:tcPr>
          <w:p w:rsidR="00EA3885" w:rsidRPr="00EA3885" w:rsidRDefault="00EA3885" w:rsidP="00EA3885">
            <w:pPr>
              <w:pStyle w:val="Listenabsatz"/>
              <w:numPr>
                <w:ilvl w:val="0"/>
                <w:numId w:val="1"/>
              </w:numPr>
              <w:ind w:right="-993"/>
              <w:rPr>
                <w:rFonts w:ascii="Verdana" w:hAnsi="Verdana"/>
                <w:b/>
                <w:sz w:val="20"/>
                <w:szCs w:val="20"/>
              </w:rPr>
            </w:pPr>
            <w:r w:rsidRPr="00EA3885">
              <w:rPr>
                <w:rFonts w:ascii="Verdana" w:hAnsi="Verdana"/>
                <w:b/>
                <w:sz w:val="20"/>
                <w:szCs w:val="20"/>
              </w:rPr>
              <w:t>Absatzsteigerungen</w:t>
            </w:r>
          </w:p>
        </w:tc>
      </w:tr>
      <w:tr w:rsidR="00EA3885" w:rsidTr="00EA3885">
        <w:trPr>
          <w:trHeight w:val="251"/>
        </w:trPr>
        <w:tc>
          <w:tcPr>
            <w:tcW w:w="4820" w:type="dxa"/>
          </w:tcPr>
          <w:p w:rsidR="00EA3885" w:rsidRPr="00813EA3" w:rsidRDefault="00EA3885" w:rsidP="00EA3885">
            <w:pPr>
              <w:pStyle w:val="Listenabsatz"/>
              <w:numPr>
                <w:ilvl w:val="0"/>
                <w:numId w:val="1"/>
              </w:numPr>
              <w:ind w:right="-993"/>
              <w:rPr>
                <w:rFonts w:ascii="Verdana" w:hAnsi="Verdana"/>
                <w:sz w:val="20"/>
                <w:szCs w:val="20"/>
              </w:rPr>
            </w:pPr>
            <w:r w:rsidRPr="005A2F2D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>atenbankmanagement</w:t>
            </w:r>
          </w:p>
        </w:tc>
        <w:tc>
          <w:tcPr>
            <w:tcW w:w="5363" w:type="dxa"/>
          </w:tcPr>
          <w:p w:rsidR="00EA3885" w:rsidRPr="00813EA3" w:rsidRDefault="00EA3885" w:rsidP="00EA3885">
            <w:pPr>
              <w:pStyle w:val="Listenabsatz"/>
              <w:numPr>
                <w:ilvl w:val="0"/>
                <w:numId w:val="1"/>
              </w:numPr>
              <w:ind w:right="-993"/>
              <w:rPr>
                <w:rFonts w:ascii="Verdana" w:hAnsi="Verdana"/>
                <w:sz w:val="20"/>
                <w:szCs w:val="20"/>
              </w:rPr>
            </w:pPr>
            <w:r w:rsidRPr="005A2F2D">
              <w:rPr>
                <w:rFonts w:ascii="Verdana" w:hAnsi="Verdana"/>
                <w:sz w:val="20"/>
                <w:szCs w:val="20"/>
              </w:rPr>
              <w:t>Konkurrenzanalyse</w:t>
            </w:r>
            <w:r>
              <w:rPr>
                <w:rFonts w:ascii="Verdana" w:hAnsi="Verdana"/>
                <w:sz w:val="20"/>
                <w:szCs w:val="20"/>
              </w:rPr>
              <w:t>n</w:t>
            </w:r>
          </w:p>
        </w:tc>
      </w:tr>
      <w:tr w:rsidR="00EA3885" w:rsidTr="00EA3885">
        <w:trPr>
          <w:trHeight w:val="251"/>
        </w:trPr>
        <w:tc>
          <w:tcPr>
            <w:tcW w:w="4820" w:type="dxa"/>
          </w:tcPr>
          <w:p w:rsidR="00EA3885" w:rsidRPr="00813EA3" w:rsidRDefault="00EA3885" w:rsidP="00EA3885">
            <w:pPr>
              <w:pStyle w:val="Listenabsatz"/>
              <w:numPr>
                <w:ilvl w:val="0"/>
                <w:numId w:val="1"/>
              </w:numPr>
              <w:ind w:right="-993"/>
              <w:rPr>
                <w:rFonts w:ascii="Verdana" w:hAnsi="Verdana"/>
                <w:sz w:val="20"/>
                <w:szCs w:val="20"/>
              </w:rPr>
            </w:pPr>
            <w:r w:rsidRPr="005A2F2D">
              <w:rPr>
                <w:rFonts w:ascii="Verdana" w:hAnsi="Verdana"/>
                <w:sz w:val="20"/>
                <w:szCs w:val="20"/>
              </w:rPr>
              <w:t xml:space="preserve">Optimierung von Vertriebsnetzen </w:t>
            </w:r>
          </w:p>
        </w:tc>
        <w:tc>
          <w:tcPr>
            <w:tcW w:w="5363" w:type="dxa"/>
          </w:tcPr>
          <w:p w:rsidR="00EA3885" w:rsidRPr="00813EA3" w:rsidRDefault="00EA3885" w:rsidP="00EA3885">
            <w:pPr>
              <w:pStyle w:val="Listenabsatz"/>
              <w:numPr>
                <w:ilvl w:val="0"/>
                <w:numId w:val="1"/>
              </w:numPr>
              <w:ind w:right="-993"/>
              <w:rPr>
                <w:rFonts w:ascii="Verdana" w:hAnsi="Verdana"/>
                <w:sz w:val="20"/>
                <w:szCs w:val="20"/>
              </w:rPr>
            </w:pPr>
            <w:r w:rsidRPr="005A2F2D">
              <w:rPr>
                <w:rFonts w:ascii="Verdana" w:hAnsi="Verdana"/>
                <w:sz w:val="20"/>
                <w:szCs w:val="20"/>
              </w:rPr>
              <w:t>Proze</w:t>
            </w:r>
            <w:r>
              <w:rPr>
                <w:rFonts w:ascii="Verdana" w:hAnsi="Verdana"/>
                <w:sz w:val="20"/>
                <w:szCs w:val="20"/>
              </w:rPr>
              <w:t>ssoptimierung</w:t>
            </w:r>
          </w:p>
        </w:tc>
      </w:tr>
      <w:tr w:rsidR="00EA3885" w:rsidTr="00EA3885">
        <w:trPr>
          <w:trHeight w:val="251"/>
        </w:trPr>
        <w:tc>
          <w:tcPr>
            <w:tcW w:w="4820" w:type="dxa"/>
          </w:tcPr>
          <w:p w:rsidR="00EA3885" w:rsidRPr="00813EA3" w:rsidRDefault="00EA3885" w:rsidP="00EA3885">
            <w:pPr>
              <w:pStyle w:val="Listenabsatz"/>
              <w:numPr>
                <w:ilvl w:val="0"/>
                <w:numId w:val="1"/>
              </w:numPr>
              <w:ind w:right="-99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Steigerung der Rendite</w:t>
            </w:r>
          </w:p>
        </w:tc>
        <w:tc>
          <w:tcPr>
            <w:tcW w:w="5363" w:type="dxa"/>
          </w:tcPr>
          <w:p w:rsidR="00EA3885" w:rsidRPr="00813EA3" w:rsidRDefault="00EA3885" w:rsidP="00EA3885">
            <w:pPr>
              <w:pStyle w:val="Listenabsatz"/>
              <w:numPr>
                <w:ilvl w:val="0"/>
                <w:numId w:val="1"/>
              </w:numPr>
              <w:ind w:right="-99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Reporting- &amp; Steuerungstools</w:t>
            </w:r>
          </w:p>
        </w:tc>
      </w:tr>
      <w:tr w:rsidR="00EA3885" w:rsidTr="00EA3885">
        <w:trPr>
          <w:trHeight w:val="251"/>
        </w:trPr>
        <w:tc>
          <w:tcPr>
            <w:tcW w:w="4820" w:type="dxa"/>
          </w:tcPr>
          <w:p w:rsidR="00EA3885" w:rsidRPr="00813EA3" w:rsidRDefault="00EA3885" w:rsidP="00EA3885">
            <w:pPr>
              <w:pStyle w:val="Listenabsatz"/>
              <w:numPr>
                <w:ilvl w:val="0"/>
                <w:numId w:val="1"/>
              </w:numPr>
              <w:ind w:right="-99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Organisationsentwicklung</w:t>
            </w:r>
          </w:p>
        </w:tc>
        <w:tc>
          <w:tcPr>
            <w:tcW w:w="5363" w:type="dxa"/>
          </w:tcPr>
          <w:p w:rsidR="00EA3885" w:rsidRPr="00813EA3" w:rsidRDefault="00EA3885" w:rsidP="00EA3885">
            <w:pPr>
              <w:pStyle w:val="Listenabsatz"/>
              <w:numPr>
                <w:ilvl w:val="0"/>
                <w:numId w:val="1"/>
              </w:numPr>
              <w:ind w:right="-993"/>
              <w:rPr>
                <w:rFonts w:ascii="Verdana" w:hAnsi="Verdana"/>
                <w:sz w:val="20"/>
                <w:szCs w:val="20"/>
              </w:rPr>
            </w:pPr>
            <w:r w:rsidRPr="005A2F2D">
              <w:rPr>
                <w:rFonts w:ascii="Verdana" w:hAnsi="Verdana"/>
                <w:sz w:val="20"/>
                <w:szCs w:val="20"/>
              </w:rPr>
              <w:t>Entwickl</w:t>
            </w:r>
            <w:r>
              <w:rPr>
                <w:rFonts w:ascii="Verdana" w:hAnsi="Verdana"/>
                <w:sz w:val="20"/>
                <w:szCs w:val="20"/>
              </w:rPr>
              <w:t>ung von Verkaufsargumentationen</w:t>
            </w:r>
          </w:p>
        </w:tc>
      </w:tr>
      <w:tr w:rsidR="00EA3885" w:rsidTr="00EA3885">
        <w:trPr>
          <w:trHeight w:val="251"/>
        </w:trPr>
        <w:tc>
          <w:tcPr>
            <w:tcW w:w="4820" w:type="dxa"/>
          </w:tcPr>
          <w:p w:rsidR="00EA3885" w:rsidRPr="00813EA3" w:rsidRDefault="00EA3885" w:rsidP="00EA3885">
            <w:pPr>
              <w:pStyle w:val="Listenabsatz"/>
              <w:numPr>
                <w:ilvl w:val="0"/>
                <w:numId w:val="1"/>
              </w:numPr>
              <w:ind w:right="-99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Kostenoptimierung</w:t>
            </w:r>
          </w:p>
        </w:tc>
        <w:tc>
          <w:tcPr>
            <w:tcW w:w="5363" w:type="dxa"/>
          </w:tcPr>
          <w:p w:rsidR="00EA3885" w:rsidRPr="00813EA3" w:rsidRDefault="00EA3885" w:rsidP="00EA3885">
            <w:pPr>
              <w:pStyle w:val="Listenabsatz"/>
              <w:numPr>
                <w:ilvl w:val="0"/>
                <w:numId w:val="1"/>
              </w:numPr>
              <w:ind w:right="-993"/>
              <w:rPr>
                <w:rFonts w:ascii="Verdana" w:hAnsi="Verdana"/>
                <w:sz w:val="20"/>
                <w:szCs w:val="20"/>
              </w:rPr>
            </w:pPr>
            <w:r w:rsidRPr="005A2F2D">
              <w:rPr>
                <w:rFonts w:ascii="Verdana" w:hAnsi="Verdana"/>
                <w:sz w:val="20"/>
                <w:szCs w:val="20"/>
              </w:rPr>
              <w:t>Re</w:t>
            </w:r>
            <w:r>
              <w:rPr>
                <w:rFonts w:ascii="Verdana" w:hAnsi="Verdana"/>
                <w:sz w:val="20"/>
                <w:szCs w:val="20"/>
              </w:rPr>
              <w:t>duzierung der Reklamationsquote</w:t>
            </w:r>
          </w:p>
        </w:tc>
      </w:tr>
      <w:tr w:rsidR="00EA3885" w:rsidTr="00EA3885">
        <w:trPr>
          <w:trHeight w:val="251"/>
        </w:trPr>
        <w:tc>
          <w:tcPr>
            <w:tcW w:w="4820" w:type="dxa"/>
          </w:tcPr>
          <w:p w:rsidR="00EA3885" w:rsidRPr="00813EA3" w:rsidRDefault="00EA3885" w:rsidP="00EA3885">
            <w:pPr>
              <w:pStyle w:val="Listenabsatz"/>
              <w:numPr>
                <w:ilvl w:val="0"/>
                <w:numId w:val="1"/>
              </w:numPr>
              <w:ind w:right="-993"/>
              <w:rPr>
                <w:rFonts w:ascii="Verdana" w:hAnsi="Verdana"/>
                <w:sz w:val="20"/>
                <w:szCs w:val="20"/>
              </w:rPr>
            </w:pPr>
            <w:r w:rsidRPr="005A2F2D">
              <w:rPr>
                <w:rFonts w:ascii="Verdana" w:hAnsi="Verdana"/>
                <w:sz w:val="20"/>
                <w:szCs w:val="20"/>
              </w:rPr>
              <w:t>Ste</w:t>
            </w:r>
            <w:r>
              <w:rPr>
                <w:rFonts w:ascii="Verdana" w:hAnsi="Verdana"/>
                <w:sz w:val="20"/>
                <w:szCs w:val="20"/>
              </w:rPr>
              <w:t>igerung der Kundenzufriedenheit</w:t>
            </w:r>
          </w:p>
        </w:tc>
        <w:tc>
          <w:tcPr>
            <w:tcW w:w="5363" w:type="dxa"/>
          </w:tcPr>
          <w:p w:rsidR="00EA3885" w:rsidRDefault="00EA3885" w:rsidP="00EA3885">
            <w:pPr>
              <w:pStyle w:val="Listenabsatz"/>
              <w:numPr>
                <w:ilvl w:val="0"/>
                <w:numId w:val="1"/>
              </w:numPr>
              <w:ind w:right="-993"/>
              <w:rPr>
                <w:rFonts w:ascii="Verdana" w:hAnsi="Verdana"/>
                <w:sz w:val="20"/>
                <w:szCs w:val="20"/>
              </w:rPr>
            </w:pPr>
            <w:r w:rsidRPr="005A2F2D">
              <w:rPr>
                <w:rFonts w:ascii="Verdana" w:hAnsi="Verdana"/>
                <w:sz w:val="20"/>
                <w:szCs w:val="20"/>
              </w:rPr>
              <w:t>Lean Management</w:t>
            </w:r>
          </w:p>
        </w:tc>
      </w:tr>
      <w:tr w:rsidR="00EA3885" w:rsidTr="00EA3885">
        <w:trPr>
          <w:trHeight w:val="251"/>
        </w:trPr>
        <w:tc>
          <w:tcPr>
            <w:tcW w:w="4820" w:type="dxa"/>
          </w:tcPr>
          <w:p w:rsidR="00EA3885" w:rsidRDefault="00EA3885" w:rsidP="00EA3885">
            <w:pPr>
              <w:pStyle w:val="Listenabsatz"/>
              <w:numPr>
                <w:ilvl w:val="0"/>
                <w:numId w:val="1"/>
              </w:numPr>
              <w:ind w:right="-993"/>
              <w:rPr>
                <w:rFonts w:ascii="Verdana" w:hAnsi="Verdana"/>
                <w:sz w:val="20"/>
                <w:szCs w:val="20"/>
              </w:rPr>
            </w:pPr>
            <w:r w:rsidRPr="005A2F2D">
              <w:rPr>
                <w:rFonts w:ascii="Verdana" w:hAnsi="Verdana"/>
                <w:sz w:val="20"/>
                <w:szCs w:val="20"/>
              </w:rPr>
              <w:t>Verkaufsförderung</w:t>
            </w:r>
          </w:p>
        </w:tc>
        <w:tc>
          <w:tcPr>
            <w:tcW w:w="5363" w:type="dxa"/>
          </w:tcPr>
          <w:p w:rsidR="00EA3885" w:rsidRPr="00813EA3" w:rsidRDefault="00EA3885" w:rsidP="00EA3885">
            <w:pPr>
              <w:pStyle w:val="Listenabsatz"/>
              <w:numPr>
                <w:ilvl w:val="0"/>
                <w:numId w:val="1"/>
              </w:numPr>
              <w:ind w:right="-993"/>
              <w:rPr>
                <w:rFonts w:ascii="Verdana" w:hAnsi="Verdana"/>
                <w:sz w:val="20"/>
                <w:szCs w:val="20"/>
              </w:rPr>
            </w:pPr>
            <w:r w:rsidRPr="005A2F2D">
              <w:rPr>
                <w:rFonts w:ascii="Verdana" w:hAnsi="Verdana"/>
                <w:sz w:val="20"/>
                <w:szCs w:val="20"/>
              </w:rPr>
              <w:t xml:space="preserve">Einführung von Standards </w:t>
            </w:r>
          </w:p>
        </w:tc>
      </w:tr>
      <w:tr w:rsidR="00EA3885" w:rsidTr="00EA3885">
        <w:trPr>
          <w:trHeight w:val="251"/>
        </w:trPr>
        <w:tc>
          <w:tcPr>
            <w:tcW w:w="4820" w:type="dxa"/>
          </w:tcPr>
          <w:p w:rsidR="00EA3885" w:rsidRPr="00813EA3" w:rsidRDefault="00EA3885" w:rsidP="00EA3885">
            <w:pPr>
              <w:pStyle w:val="Listenabsatz"/>
              <w:numPr>
                <w:ilvl w:val="0"/>
                <w:numId w:val="1"/>
              </w:numPr>
              <w:ind w:right="-993"/>
              <w:rPr>
                <w:rFonts w:ascii="Verdana" w:hAnsi="Verdana"/>
                <w:sz w:val="20"/>
                <w:szCs w:val="20"/>
              </w:rPr>
            </w:pPr>
            <w:r w:rsidRPr="005A2F2D">
              <w:rPr>
                <w:rFonts w:ascii="Verdana" w:hAnsi="Verdana"/>
                <w:sz w:val="20"/>
                <w:szCs w:val="20"/>
              </w:rPr>
              <w:t xml:space="preserve">Marken-/Produktpositionierung </w:t>
            </w:r>
          </w:p>
        </w:tc>
        <w:tc>
          <w:tcPr>
            <w:tcW w:w="5363" w:type="dxa"/>
          </w:tcPr>
          <w:p w:rsidR="00EA3885" w:rsidRPr="00813EA3" w:rsidRDefault="00EA3885" w:rsidP="00EA3885">
            <w:pPr>
              <w:pStyle w:val="Listenabsatz"/>
              <w:numPr>
                <w:ilvl w:val="0"/>
                <w:numId w:val="1"/>
              </w:numPr>
              <w:ind w:right="-993"/>
              <w:rPr>
                <w:rFonts w:ascii="Verdana" w:hAnsi="Verdana"/>
                <w:sz w:val="20"/>
                <w:szCs w:val="20"/>
              </w:rPr>
            </w:pPr>
            <w:r w:rsidRPr="005A2F2D">
              <w:rPr>
                <w:rFonts w:ascii="Verdana" w:hAnsi="Verdana"/>
                <w:sz w:val="20"/>
                <w:szCs w:val="20"/>
              </w:rPr>
              <w:t>Best Practice Analysen</w:t>
            </w:r>
          </w:p>
        </w:tc>
      </w:tr>
    </w:tbl>
    <w:p w:rsidR="00F328E3" w:rsidRDefault="00F328E3"/>
    <w:sectPr w:rsidR="00F328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30C8A"/>
    <w:multiLevelType w:val="hybridMultilevel"/>
    <w:tmpl w:val="AC805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85"/>
    <w:rsid w:val="00EA3885"/>
    <w:rsid w:val="00F3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93AC4-3051-4B4E-A6B3-1E2D9FBE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38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3885"/>
    <w:pPr>
      <w:ind w:left="720"/>
      <w:contextualSpacing/>
    </w:pPr>
  </w:style>
  <w:style w:type="table" w:styleId="Tabellenraster">
    <w:name w:val="Table Grid"/>
    <w:basedOn w:val="NormaleTabelle"/>
    <w:uiPriority w:val="39"/>
    <w:rsid w:val="00EA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Beliczynski</dc:creator>
  <cp:keywords/>
  <dc:description/>
  <cp:lastModifiedBy>Adam Beliczynski</cp:lastModifiedBy>
  <cp:revision>1</cp:revision>
  <dcterms:created xsi:type="dcterms:W3CDTF">2016-07-19T13:34:00Z</dcterms:created>
  <dcterms:modified xsi:type="dcterms:W3CDTF">2016-07-19T13:35:00Z</dcterms:modified>
</cp:coreProperties>
</file>